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B1" w:rsidRDefault="00BB20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</w:p>
    <w:tbl>
      <w:tblPr>
        <w:tblStyle w:val="a"/>
        <w:tblW w:w="9111" w:type="dxa"/>
        <w:tblLayout w:type="fixed"/>
        <w:tblLook w:val="0000" w:firstRow="0" w:lastRow="0" w:firstColumn="0" w:lastColumn="0" w:noHBand="0" w:noVBand="0"/>
      </w:tblPr>
      <w:tblGrid>
        <w:gridCol w:w="3856"/>
        <w:gridCol w:w="5255"/>
      </w:tblGrid>
      <w:tr w:rsidR="00BB20B1">
        <w:trPr>
          <w:trHeight w:val="1146"/>
        </w:trPr>
        <w:tc>
          <w:tcPr>
            <w:tcW w:w="3856" w:type="dxa"/>
          </w:tcPr>
          <w:p w:rsidR="00BB20B1" w:rsidRDefault="00FC4D85">
            <w:pPr>
              <w:spacing w:line="276" w:lineRule="auto"/>
              <w:jc w:val="center"/>
              <w:rPr>
                <w:b/>
              </w:rPr>
            </w:pPr>
            <w:r>
              <w:t>TRƯỜNG TTH&amp;THCS BÌNH DÂN</w:t>
            </w:r>
          </w:p>
          <w:p w:rsidR="00BB20B1" w:rsidRDefault="00FC4D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KHỐI 1 + 2 + 3</w:t>
            </w:r>
          </w:p>
          <w:p w:rsidR="00BB20B1" w:rsidRDefault="00FC4D8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5088</wp:posOffset>
                      </wp:positionV>
                      <wp:extent cx="0" cy="12700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7218" y="3780000"/>
                                <a:ext cx="837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87" distT="4294967287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5088</wp:posOffset>
                      </wp:positionV>
                      <wp:extent cx="0" cy="12700"/>
                      <wp:effectExtent b="0" l="0" r="0" t="0"/>
                      <wp:wrapNone/>
                      <wp:docPr id="2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55" w:type="dxa"/>
          </w:tcPr>
          <w:p w:rsidR="00BB20B1" w:rsidRDefault="00FC4D85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BB20B1" w:rsidRDefault="00FC4D8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B20B1" w:rsidRDefault="00FC4D85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17788</wp:posOffset>
                      </wp:positionV>
                      <wp:extent cx="0" cy="12700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6990" y="3780000"/>
                                <a:ext cx="193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87" distT="4294967287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17788</wp:posOffset>
                      </wp:positionV>
                      <wp:extent cx="0" cy="12700"/>
                      <wp:effectExtent b="0" l="0" r="0" t="0"/>
                      <wp:wrapNone/>
                      <wp:docPr id="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B20B1" w:rsidRDefault="00FC4D85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</w:t>
      </w:r>
    </w:p>
    <w:p w:rsidR="00BB20B1" w:rsidRDefault="00FC4D85">
      <w:pPr>
        <w:jc w:val="center"/>
        <w:rPr>
          <w:b/>
        </w:rPr>
      </w:pPr>
      <w:r>
        <w:rPr>
          <w:b/>
        </w:rPr>
        <w:t>GÓP Ý DỰ THẢO NGHỊ ĐỊNH</w:t>
      </w:r>
    </w:p>
    <w:p w:rsidR="00BB20B1" w:rsidRDefault="00FC4D85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Sửa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đổi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bổ</w:t>
      </w:r>
      <w:proofErr w:type="spellEnd"/>
      <w:r>
        <w:rPr>
          <w:b/>
          <w:sz w:val="27"/>
          <w:szCs w:val="27"/>
        </w:rPr>
        <w:t xml:space="preserve"> sung </w:t>
      </w:r>
      <w:proofErr w:type="spellStart"/>
      <w:r>
        <w:rPr>
          <w:b/>
          <w:sz w:val="27"/>
          <w:szCs w:val="27"/>
        </w:rPr>
        <w:t>một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số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điều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của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Nghị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định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số</w:t>
      </w:r>
      <w:proofErr w:type="spellEnd"/>
      <w:r>
        <w:rPr>
          <w:b/>
          <w:sz w:val="27"/>
          <w:szCs w:val="27"/>
        </w:rPr>
        <w:t xml:space="preserve"> 71/2020/NĐ-CP </w:t>
      </w:r>
      <w:proofErr w:type="spellStart"/>
      <w:r>
        <w:rPr>
          <w:b/>
          <w:sz w:val="27"/>
          <w:szCs w:val="27"/>
        </w:rPr>
        <w:t>ngày</w:t>
      </w:r>
      <w:proofErr w:type="spellEnd"/>
      <w:r>
        <w:rPr>
          <w:b/>
          <w:sz w:val="27"/>
          <w:szCs w:val="27"/>
        </w:rPr>
        <w:t xml:space="preserve"> 30/6/2020 </w:t>
      </w:r>
      <w:proofErr w:type="spellStart"/>
      <w:r>
        <w:rPr>
          <w:b/>
          <w:sz w:val="27"/>
          <w:szCs w:val="27"/>
        </w:rPr>
        <w:t>của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Chính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phủ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quy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định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lộ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trình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nâng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trình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độ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chuẩn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được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đào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tạo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của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giáo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viên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mầm</w:t>
      </w:r>
      <w:proofErr w:type="spellEnd"/>
      <w:r>
        <w:rPr>
          <w:b/>
          <w:sz w:val="27"/>
          <w:szCs w:val="27"/>
        </w:rPr>
        <w:t xml:space="preserve"> non, </w:t>
      </w:r>
      <w:proofErr w:type="spellStart"/>
      <w:r>
        <w:rPr>
          <w:b/>
          <w:sz w:val="27"/>
          <w:szCs w:val="27"/>
        </w:rPr>
        <w:t>tiểu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trung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cơ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sở</w:t>
      </w:r>
      <w:proofErr w:type="spellEnd"/>
    </w:p>
    <w:p w:rsidR="00BB20B1" w:rsidRDefault="00FC4D85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1771650" cy="381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64938" y="3765713"/>
                          <a:ext cx="176212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1771650" cy="3810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20B1" w:rsidRDefault="00FC4D85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ý: 6 GV 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709"/>
        <w:jc w:val="both"/>
        <w:rPr>
          <w:rFonts w:ascii="inherit" w:eastAsia="inherit" w:hAnsi="inherit" w:cs="inheri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1219/PGD&amp;ĐT-TC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2024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color w:val="000000"/>
          <w:sz w:val="28"/>
          <w:szCs w:val="28"/>
        </w:rPr>
        <w:t xml:space="preserve"> sung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71/2020/NĐ-CP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2020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phủ</w:t>
      </w:r>
      <w:proofErr w:type="spellEnd"/>
      <w:r>
        <w:rPr>
          <w:color w:val="000000"/>
          <w:sz w:val="28"/>
          <w:szCs w:val="28"/>
        </w:rPr>
        <w:t>.</w:t>
      </w:r>
    </w:p>
    <w:p w:rsidR="00BB20B1" w:rsidRDefault="00FC4D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Một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số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kết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quả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đào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nâng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trình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chuẩn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-142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2020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2024,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GV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nâng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BB20B1" w:rsidRDefault="00FC4D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Góp</w:t>
      </w:r>
      <w:proofErr w:type="spellEnd"/>
      <w:r>
        <w:rPr>
          <w:b/>
          <w:color w:val="000000"/>
          <w:sz w:val="28"/>
          <w:szCs w:val="28"/>
        </w:rPr>
        <w:t xml:space="preserve"> ý, </w:t>
      </w:r>
      <w:proofErr w:type="spellStart"/>
      <w:r>
        <w:rPr>
          <w:b/>
          <w:color w:val="000000"/>
          <w:sz w:val="28"/>
          <w:szCs w:val="28"/>
        </w:rPr>
        <w:t>đánh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giá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thảo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Nghị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định</w:t>
      </w:r>
      <w:proofErr w:type="spellEnd"/>
    </w:p>
    <w:p w:rsidR="00BB20B1" w:rsidRDefault="00FC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jc w:val="both"/>
        <w:rPr>
          <w:color w:val="000000"/>
          <w:sz w:val="28"/>
          <w:szCs w:val="28"/>
        </w:rPr>
      </w:pPr>
      <w:bookmarkStart w:id="1" w:name="bookmark=id.gjdgxs" w:colFirst="0" w:colLast="0"/>
      <w:bookmarkEnd w:id="1"/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ý: 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B20B1" w:rsidRDefault="00FC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Chia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BB20B1" w:rsidRDefault="00FC4D85">
      <w:pPr>
        <w:tabs>
          <w:tab w:val="left" w:pos="993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6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;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Chương</w:t>
      </w:r>
      <w:proofErr w:type="spellEnd"/>
      <w:r>
        <w:rPr>
          <w:b/>
          <w:color w:val="000000"/>
          <w:sz w:val="28"/>
          <w:szCs w:val="28"/>
        </w:rPr>
        <w:t xml:space="preserve"> I: NHỮNG QUY ĐỊNH CHUNG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2" w:name="bookmark=id.30j0zll" w:colFirst="0" w:colLast="0"/>
      <w:bookmarkEnd w:id="2"/>
      <w:proofErr w:type="spellStart"/>
      <w:proofErr w:type="gram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vi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2.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Đối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tượng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4" w:name="bookmark=id.3znysh7" w:colFirst="0" w:colLast="0"/>
      <w:bookmarkEnd w:id="4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3.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Nguyên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tắc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b/>
          <w:color w:val="000000"/>
          <w:sz w:val="28"/>
          <w:szCs w:val="28"/>
        </w:rPr>
      </w:pPr>
      <w:bookmarkStart w:id="5" w:name="bookmark=id.2et92p0" w:colFirst="0" w:colLast="0"/>
      <w:bookmarkEnd w:id="5"/>
      <w:proofErr w:type="spellStart"/>
      <w:r>
        <w:rPr>
          <w:b/>
          <w:color w:val="000000"/>
          <w:sz w:val="28"/>
          <w:szCs w:val="28"/>
        </w:rPr>
        <w:t>Chương</w:t>
      </w:r>
      <w:proofErr w:type="spellEnd"/>
      <w:r>
        <w:rPr>
          <w:b/>
          <w:color w:val="000000"/>
          <w:sz w:val="28"/>
          <w:szCs w:val="28"/>
        </w:rPr>
        <w:t xml:space="preserve"> II</w:t>
      </w:r>
      <w:bookmarkStart w:id="6" w:name="bookmark=id.tyjcwt" w:colFirst="0" w:colLast="0"/>
      <w:bookmarkEnd w:id="6"/>
      <w:r>
        <w:rPr>
          <w:b/>
          <w:color w:val="000000"/>
          <w:sz w:val="28"/>
          <w:szCs w:val="28"/>
        </w:rPr>
        <w:t>: NÂNG TRÌNH ĐỘ CHUẨN ĐƯỢC ĐÀO TẠO CỦA GIÁO VIÊN MẦM NON, TIỂU HỌC, TRUNG HỌC CƠ SỞ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7" w:name="bookmark=id.3dy6vkm" w:colFirst="0" w:colLast="0"/>
      <w:bookmarkEnd w:id="7"/>
      <w:proofErr w:type="spellStart"/>
      <w:proofErr w:type="gram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4.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nâng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non</w:t>
      </w:r>
      <w:proofErr w:type="gram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8" w:name="bookmark=id.1t3h5sf" w:colFirst="0" w:colLast="0"/>
      <w:bookmarkEnd w:id="8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5.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tiểu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9" w:name="bookmark=id.4d34og8" w:colFirst="0" w:colLast="0"/>
      <w:bookmarkEnd w:id="9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6.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trung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học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cơ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sở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0" w:name="bookmark=id.2s8eyo1" w:colFirst="0" w:colLast="0"/>
      <w:bookmarkEnd w:id="10"/>
      <w:bookmarkEnd w:id="0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7.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Phương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thức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giao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vụ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đặt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hàng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hoặc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đấu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thầu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trong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1" w:name="bookmark=id.17dp8vu" w:colFirst="0" w:colLast="0"/>
      <w:bookmarkEnd w:id="11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8.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Kế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hoạch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</w:t>
      </w:r>
      <w:r>
        <w:rPr>
          <w:color w:val="000000"/>
          <w:sz w:val="28"/>
          <w:szCs w:val="28"/>
          <w:highlight w:val="white"/>
        </w:rPr>
        <w:t>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2" w:name="bookmark=id.3rdcrjn" w:colFirst="0" w:colLast="0"/>
      <w:bookmarkEnd w:id="12"/>
      <w:proofErr w:type="spellStart"/>
      <w:proofErr w:type="gramStart"/>
      <w:r>
        <w:rPr>
          <w:color w:val="000000"/>
          <w:sz w:val="28"/>
          <w:szCs w:val="28"/>
          <w:highlight w:val="white"/>
        </w:rPr>
        <w:lastRenderedPageBreak/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9.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Kinh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phí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thực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hiện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lộ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được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10.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Quyền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và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tham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nâng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trình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chuẩn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3" w:name="bookmark=id.26in1rg" w:colFirst="0" w:colLast="0"/>
      <w:bookmarkEnd w:id="13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11.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Đền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bù</w:t>
      </w:r>
      <w:proofErr w:type="spellEnd"/>
      <w:r>
        <w:rPr>
          <w:color w:val="000000"/>
          <w:sz w:val="28"/>
          <w:szCs w:val="28"/>
          <w:highlight w:val="white"/>
        </w:rPr>
        <w:t xml:space="preserve"> chi </w:t>
      </w:r>
      <w:proofErr w:type="spellStart"/>
      <w:r>
        <w:rPr>
          <w:color w:val="000000"/>
          <w:sz w:val="28"/>
          <w:szCs w:val="28"/>
          <w:highlight w:val="white"/>
        </w:rPr>
        <w:t>phí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4" w:name="bookmark=id.lnxbz9" w:colFirst="0" w:colLast="0"/>
      <w:bookmarkEnd w:id="14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12.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Chế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độ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cáo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b/>
          <w:color w:val="000000"/>
          <w:sz w:val="28"/>
          <w:szCs w:val="28"/>
        </w:rPr>
      </w:pPr>
      <w:bookmarkStart w:id="15" w:name="bookmark=id.35nkun2" w:colFirst="0" w:colLast="0"/>
      <w:bookmarkEnd w:id="15"/>
      <w:proofErr w:type="spellStart"/>
      <w:r>
        <w:rPr>
          <w:b/>
          <w:color w:val="000000"/>
          <w:sz w:val="28"/>
          <w:szCs w:val="28"/>
        </w:rPr>
        <w:t>Chương</w:t>
      </w:r>
      <w:proofErr w:type="spellEnd"/>
      <w:r>
        <w:rPr>
          <w:b/>
          <w:color w:val="000000"/>
          <w:sz w:val="28"/>
          <w:szCs w:val="28"/>
        </w:rPr>
        <w:t xml:space="preserve"> III</w:t>
      </w:r>
      <w:bookmarkStart w:id="16" w:name="bookmark=id.1ksv4uv" w:colFirst="0" w:colLast="0"/>
      <w:bookmarkEnd w:id="16"/>
      <w:r>
        <w:rPr>
          <w:b/>
          <w:color w:val="000000"/>
          <w:sz w:val="28"/>
          <w:szCs w:val="28"/>
        </w:rPr>
        <w:t>: TỔ CHỨC THỰC HIỆN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17" w:name="bookmark=id.44sinio" w:colFirst="0" w:colLast="0"/>
      <w:bookmarkEnd w:id="17"/>
      <w:proofErr w:type="spellStart"/>
      <w:proofErr w:type="gram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13.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000000"/>
          <w:sz w:val="28"/>
          <w:szCs w:val="28"/>
        </w:rPr>
      </w:pPr>
      <w:bookmarkStart w:id="18" w:name="bookmark=id.2jxsxqh" w:colFirst="0" w:colLast="0"/>
      <w:bookmarkEnd w:id="18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14.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bộ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cơ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quan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ngang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bộ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19" w:name="bookmark=id.z337ya" w:colFirst="0" w:colLast="0"/>
      <w:bookmarkEnd w:id="19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15.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Ủy</w:t>
      </w:r>
      <w:proofErr w:type="spellEnd"/>
      <w:r>
        <w:rPr>
          <w:color w:val="000000"/>
          <w:sz w:val="28"/>
          <w:szCs w:val="28"/>
          <w:highlight w:val="white"/>
        </w:rPr>
        <w:t xml:space="preserve"> ban </w:t>
      </w:r>
      <w:proofErr w:type="spellStart"/>
      <w:r>
        <w:rPr>
          <w:color w:val="000000"/>
          <w:sz w:val="28"/>
          <w:szCs w:val="28"/>
          <w:highlight w:val="white"/>
        </w:rPr>
        <w:t>nhân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dân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cấp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tỉnh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20" w:name="bookmark=id.3j2qqm3" w:colFirst="0" w:colLast="0"/>
      <w:bookmarkEnd w:id="20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16.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các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cơ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sở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đào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709"/>
        <w:jc w:val="both"/>
        <w:rPr>
          <w:color w:val="000000"/>
          <w:sz w:val="28"/>
          <w:szCs w:val="28"/>
          <w:highlight w:val="white"/>
        </w:rPr>
      </w:pPr>
      <w:bookmarkStart w:id="21" w:name="bookmark=id.1y810tw" w:colFirst="0" w:colLast="0"/>
      <w:bookmarkEnd w:id="21"/>
      <w:proofErr w:type="spellStart"/>
      <w:proofErr w:type="gramStart"/>
      <w:r>
        <w:rPr>
          <w:color w:val="000000"/>
          <w:sz w:val="28"/>
          <w:szCs w:val="28"/>
          <w:highlight w:val="white"/>
        </w:rPr>
        <w:t>Điều</w:t>
      </w:r>
      <w:proofErr w:type="spellEnd"/>
      <w:r>
        <w:rPr>
          <w:color w:val="000000"/>
          <w:sz w:val="28"/>
          <w:szCs w:val="28"/>
          <w:highlight w:val="white"/>
        </w:rPr>
        <w:t xml:space="preserve"> 17.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Trách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nhiệm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của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đơn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vị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sử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dụng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giáo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viên</w:t>
      </w:r>
      <w:proofErr w:type="spellEnd"/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b/>
          <w:color w:val="000000"/>
          <w:sz w:val="28"/>
          <w:szCs w:val="28"/>
        </w:rPr>
      </w:pPr>
      <w:bookmarkStart w:id="22" w:name="bookmark=id.4i7ojhp" w:colFirst="0" w:colLast="0"/>
      <w:bookmarkEnd w:id="22"/>
      <w:proofErr w:type="spellStart"/>
      <w:r>
        <w:rPr>
          <w:b/>
          <w:color w:val="000000"/>
          <w:sz w:val="28"/>
          <w:szCs w:val="28"/>
        </w:rPr>
        <w:t>Chương</w:t>
      </w:r>
      <w:proofErr w:type="spellEnd"/>
      <w:r>
        <w:rPr>
          <w:b/>
          <w:color w:val="000000"/>
          <w:sz w:val="28"/>
          <w:szCs w:val="28"/>
        </w:rPr>
        <w:t xml:space="preserve"> IV</w:t>
      </w:r>
      <w:bookmarkStart w:id="23" w:name="bookmark=id.2xcytpi" w:colFirst="0" w:colLast="0"/>
      <w:bookmarkEnd w:id="23"/>
      <w:r>
        <w:rPr>
          <w:b/>
          <w:color w:val="000000"/>
          <w:sz w:val="28"/>
          <w:szCs w:val="28"/>
        </w:rPr>
        <w:t>: ĐIỀU KHOẢN THI HÀNH</w:t>
      </w:r>
    </w:p>
    <w:p w:rsidR="00BB20B1" w:rsidRDefault="00FC4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rPr>
          <w:color w:val="333333"/>
          <w:sz w:val="28"/>
          <w:szCs w:val="28"/>
        </w:rPr>
      </w:pPr>
      <w:bookmarkStart w:id="24" w:name="bookmark=id.1ci93xb" w:colFirst="0" w:colLast="0"/>
      <w:bookmarkEnd w:id="24"/>
      <w:proofErr w:type="spellStart"/>
      <w:proofErr w:type="gram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18.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</w:p>
    <w:p w:rsidR="00BB20B1" w:rsidRDefault="00FC4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ý:</w:t>
      </w:r>
    </w:p>
    <w:tbl>
      <w:tblPr>
        <w:tblStyle w:val="a0"/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53"/>
        <w:gridCol w:w="845"/>
        <w:gridCol w:w="576"/>
        <w:gridCol w:w="897"/>
        <w:gridCol w:w="9"/>
        <w:gridCol w:w="843"/>
        <w:gridCol w:w="576"/>
        <w:gridCol w:w="897"/>
        <w:gridCol w:w="17"/>
        <w:gridCol w:w="1443"/>
        <w:gridCol w:w="17"/>
      </w:tblGrid>
      <w:tr w:rsidR="00BB20B1">
        <w:trPr>
          <w:trHeight w:val="356"/>
          <w:tblHeader/>
          <w:jc w:val="center"/>
        </w:trPr>
        <w:tc>
          <w:tcPr>
            <w:tcW w:w="670" w:type="dxa"/>
            <w:vMerge w:val="restart"/>
          </w:tcPr>
          <w:p w:rsidR="00BB20B1" w:rsidRDefault="00FC4D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153" w:type="dxa"/>
            <w:vMerge w:val="restart"/>
          </w:tcPr>
          <w:p w:rsidR="00BB20B1" w:rsidRDefault="00FC4D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dự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kiến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điều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2327" w:type="dxa"/>
            <w:gridSpan w:val="4"/>
          </w:tcPr>
          <w:p w:rsidR="00BB20B1" w:rsidRDefault="00FC4D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đồng</w:t>
            </w:r>
            <w:proofErr w:type="spellEnd"/>
            <w:r>
              <w:rPr>
                <w:b/>
                <w:sz w:val="24"/>
                <w:szCs w:val="24"/>
              </w:rPr>
              <w:t xml:space="preserve"> ý</w:t>
            </w:r>
          </w:p>
        </w:tc>
        <w:tc>
          <w:tcPr>
            <w:tcW w:w="2333" w:type="dxa"/>
            <w:gridSpan w:val="4"/>
          </w:tcPr>
          <w:p w:rsidR="00BB20B1" w:rsidRDefault="00FC4D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đồng</w:t>
            </w:r>
            <w:proofErr w:type="spellEnd"/>
            <w:r>
              <w:rPr>
                <w:b/>
                <w:sz w:val="24"/>
                <w:szCs w:val="24"/>
              </w:rPr>
              <w:t xml:space="preserve"> ý</w:t>
            </w:r>
          </w:p>
        </w:tc>
        <w:tc>
          <w:tcPr>
            <w:tcW w:w="1460" w:type="dxa"/>
            <w:gridSpan w:val="2"/>
          </w:tcPr>
          <w:p w:rsidR="00BB20B1" w:rsidRDefault="00FC4D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xuất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điều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chỉnh</w:t>
            </w:r>
            <w:proofErr w:type="spellEnd"/>
          </w:p>
        </w:tc>
      </w:tr>
      <w:tr w:rsidR="00BB20B1">
        <w:trPr>
          <w:gridAfter w:val="1"/>
          <w:wAfter w:w="17" w:type="dxa"/>
          <w:tblHeader/>
          <w:jc w:val="center"/>
        </w:trPr>
        <w:tc>
          <w:tcPr>
            <w:tcW w:w="670" w:type="dxa"/>
            <w:vMerge/>
          </w:tcPr>
          <w:p w:rsidR="00BB20B1" w:rsidRDefault="00BB2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B20B1" w:rsidRDefault="00BB2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576" w:type="dxa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GV</w:t>
            </w:r>
          </w:p>
        </w:tc>
        <w:tc>
          <w:tcPr>
            <w:tcW w:w="897" w:type="dxa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CBQL</w:t>
            </w: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576" w:type="dxa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GV</w:t>
            </w:r>
          </w:p>
        </w:tc>
        <w:tc>
          <w:tcPr>
            <w:tcW w:w="897" w:type="dxa"/>
          </w:tcPr>
          <w:p w:rsidR="00BB20B1" w:rsidRDefault="00FC4D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CBQL</w:t>
            </w:r>
          </w:p>
        </w:tc>
        <w:tc>
          <w:tcPr>
            <w:tcW w:w="1460" w:type="dxa"/>
            <w:gridSpan w:val="2"/>
          </w:tcPr>
          <w:p w:rsidR="00BB20B1" w:rsidRDefault="00BB20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phương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đào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thầu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nâng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B20B1" w:rsidRDefault="00FC4D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đặt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hàng</w:t>
            </w:r>
            <w:proofErr w:type="spellEnd"/>
          </w:p>
          <w:p w:rsidR="00BB20B1" w:rsidRDefault="00FC4D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000000"/>
                <w:sz w:val="24"/>
                <w:szCs w:val="24"/>
              </w:rPr>
              <w:t>phải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đào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Bổ</w:t>
            </w:r>
            <w:proofErr w:type="spellEnd"/>
            <w:r>
              <w:rPr>
                <w:sz w:val="24"/>
                <w:szCs w:val="24"/>
              </w:rPr>
              <w:t xml:space="preserve"> sung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trợ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gồm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hóa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quyền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845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bookmarkStart w:id="25" w:name="_heading=h.3whwml4" w:colFirst="0" w:colLast="0"/>
            <w:bookmarkEnd w:id="25"/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nâng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nâng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nâng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những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túc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đào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non, </w:t>
            </w:r>
            <w:proofErr w:type="spellStart"/>
            <w:r>
              <w:rPr>
                <w:sz w:val="24"/>
                <w:szCs w:val="24"/>
              </w:rPr>
              <w:t>tiểu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01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nhưng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lĩnh</w:t>
            </w:r>
            <w:proofErr w:type="spellEnd"/>
            <w:r>
              <w:rPr>
                <w:sz w:val="24"/>
                <w:szCs w:val="24"/>
              </w:rPr>
              <w:t xml:space="preserve">, chi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lĩnh</w:t>
            </w:r>
            <w:proofErr w:type="spellEnd"/>
            <w:r>
              <w:rPr>
                <w:sz w:val="24"/>
                <w:szCs w:val="24"/>
              </w:rPr>
              <w:t xml:space="preserve">, chi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45" w:type="dxa"/>
          </w:tcPr>
          <w:p w:rsidR="00BB20B1" w:rsidRDefault="00FC4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</w:tcPr>
          <w:p w:rsidR="00BB20B1" w:rsidRDefault="00FC4D8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chi </w:t>
            </w:r>
            <w:proofErr w:type="spellStart"/>
            <w:r>
              <w:rPr>
                <w:b/>
                <w:sz w:val="24"/>
                <w:szCs w:val="24"/>
              </w:rPr>
              <w:t>trả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mầm</w:t>
            </w:r>
            <w:proofErr w:type="spellEnd"/>
            <w:r>
              <w:rPr>
                <w:b/>
                <w:sz w:val="24"/>
                <w:szCs w:val="24"/>
              </w:rPr>
              <w:t xml:space="preserve"> non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định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105/2020/NĐ-CP</w:t>
            </w:r>
          </w:p>
        </w:tc>
        <w:tc>
          <w:tcPr>
            <w:tcW w:w="845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jc w:val="both"/>
              <w:rPr>
                <w:sz w:val="24"/>
                <w:szCs w:val="24"/>
              </w:rPr>
            </w:pPr>
          </w:p>
        </w:tc>
      </w:tr>
      <w:tr w:rsidR="00BB20B1">
        <w:trPr>
          <w:gridAfter w:val="1"/>
          <w:wAfter w:w="17" w:type="dxa"/>
          <w:jc w:val="center"/>
        </w:trPr>
        <w:tc>
          <w:tcPr>
            <w:tcW w:w="670" w:type="dxa"/>
          </w:tcPr>
          <w:p w:rsidR="00BB20B1" w:rsidRDefault="00BB20B1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B20B1" w:rsidRDefault="00FC4D85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  <w:bookmarkStart w:id="26" w:name="_heading=h.2bn6wsx" w:colFirst="0" w:colLast="0"/>
            <w:bookmarkEnd w:id="26"/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bookmarkStart w:id="27" w:name="bookmark=id.qsh70q" w:colFirst="0" w:colLast="0"/>
            <w:bookmarkEnd w:id="27"/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khoản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72 </w:t>
            </w:r>
            <w:proofErr w:type="spellStart"/>
            <w:r>
              <w:rPr>
                <w:sz w:val="24"/>
                <w:szCs w:val="24"/>
              </w:rPr>
              <w:t>Luật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2019,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địa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hưởng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105/2020/NĐ-CP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08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non.</w:t>
            </w:r>
          </w:p>
        </w:tc>
        <w:tc>
          <w:tcPr>
            <w:tcW w:w="845" w:type="dxa"/>
          </w:tcPr>
          <w:p w:rsidR="00BB20B1" w:rsidRDefault="00FC4D8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B20B1" w:rsidRDefault="00BB20B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BB20B1" w:rsidRDefault="00FC4D8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B20B1" w:rsidRDefault="00BB20B1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BB20B1" w:rsidRDefault="00BB20B1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BB20B1" w:rsidRDefault="00BB20B1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B20B1" w:rsidRDefault="00FC4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Ý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):</w:t>
      </w:r>
    </w:p>
    <w:p w:rsidR="00BB20B1" w:rsidRDefault="00FC4D85">
      <w:pPr>
        <w:tabs>
          <w:tab w:val="left" w:pos="9072"/>
          <w:tab w:val="center" w:pos="14459"/>
        </w:tabs>
        <w:spacing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proofErr w:type="gramStart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BB20B1" w:rsidRDefault="00FC4D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center" w:pos="14459"/>
        </w:tabs>
        <w:spacing w:after="12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Góp</w:t>
      </w:r>
      <w:proofErr w:type="spellEnd"/>
      <w:r>
        <w:rPr>
          <w:b/>
          <w:color w:val="000000"/>
          <w:sz w:val="28"/>
          <w:szCs w:val="28"/>
        </w:rPr>
        <w:t xml:space="preserve"> ý </w:t>
      </w:r>
      <w:proofErr w:type="spellStart"/>
      <w:r>
        <w:rPr>
          <w:b/>
          <w:color w:val="000000"/>
          <w:sz w:val="28"/>
          <w:szCs w:val="28"/>
        </w:rPr>
        <w:t>dự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thảo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Tờ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trình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Chính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phủ</w:t>
      </w:r>
      <w:proofErr w:type="spellEnd"/>
    </w:p>
    <w:p w:rsidR="00BB20B1" w:rsidRDefault="00FC4D85">
      <w:pPr>
        <w:tabs>
          <w:tab w:val="left" w:pos="9072"/>
          <w:tab w:val="center" w:pos="14572"/>
        </w:tabs>
        <w:jc w:val="both"/>
      </w:pPr>
      <w:r>
        <w:tab/>
      </w:r>
    </w:p>
    <w:p w:rsidR="00BB20B1" w:rsidRDefault="00FC4D85">
      <w:pPr>
        <w:tabs>
          <w:tab w:val="left" w:pos="9072"/>
          <w:tab w:val="center" w:pos="14459"/>
        </w:tabs>
        <w:jc w:val="both"/>
      </w:pPr>
      <w:r>
        <w:tab/>
      </w:r>
    </w:p>
    <w:p w:rsidR="00BB20B1" w:rsidRDefault="00FC4D85">
      <w:pPr>
        <w:tabs>
          <w:tab w:val="left" w:pos="9072"/>
          <w:tab w:val="center" w:pos="14459"/>
        </w:tabs>
        <w:jc w:val="both"/>
      </w:pPr>
      <w:r>
        <w:tab/>
      </w:r>
    </w:p>
    <w:p w:rsidR="00BB20B1" w:rsidRDefault="00FC4D85">
      <w:pPr>
        <w:tabs>
          <w:tab w:val="left" w:pos="9072"/>
          <w:tab w:val="center" w:pos="14459"/>
        </w:tabs>
        <w:jc w:val="both"/>
      </w:pPr>
      <w:r>
        <w:tab/>
      </w:r>
    </w:p>
    <w:p w:rsidR="00BB20B1" w:rsidRDefault="00FC4D8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                                          </w:t>
      </w:r>
      <w:proofErr w:type="spellStart"/>
      <w:r>
        <w:rPr>
          <w:i/>
          <w:sz w:val="28"/>
          <w:szCs w:val="28"/>
        </w:rPr>
        <w:t>BìnhDân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8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</w:t>
      </w:r>
    </w:p>
    <w:p w:rsidR="00BB20B1" w:rsidRDefault="00FC4D8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>TỔ TRƯỞNG</w:t>
      </w:r>
    </w:p>
    <w:p w:rsidR="00BB20B1" w:rsidRDefault="00BB20B1">
      <w:pPr>
        <w:jc w:val="both"/>
        <w:rPr>
          <w:i/>
          <w:sz w:val="26"/>
          <w:szCs w:val="26"/>
        </w:rPr>
      </w:pPr>
    </w:p>
    <w:p w:rsidR="00BB20B1" w:rsidRDefault="00BB20B1">
      <w:pPr>
        <w:jc w:val="both"/>
        <w:rPr>
          <w:i/>
          <w:sz w:val="26"/>
          <w:szCs w:val="26"/>
        </w:rPr>
      </w:pPr>
    </w:p>
    <w:p w:rsidR="00BB20B1" w:rsidRDefault="00FC4D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Mai</w:t>
      </w:r>
    </w:p>
    <w:sectPr w:rsidR="00BB20B1">
      <w:headerReference w:type="default" r:id="rId12"/>
      <w:headerReference w:type="first" r:id="rId13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85" w:rsidRDefault="00FC4D85">
      <w:r>
        <w:separator/>
      </w:r>
    </w:p>
  </w:endnote>
  <w:endnote w:type="continuationSeparator" w:id="0">
    <w:p w:rsidR="00FC4D85" w:rsidRDefault="00FC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85" w:rsidRDefault="00FC4D85">
      <w:r>
        <w:separator/>
      </w:r>
    </w:p>
  </w:footnote>
  <w:footnote w:type="continuationSeparator" w:id="0">
    <w:p w:rsidR="00FC4D85" w:rsidRDefault="00FC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B1" w:rsidRDefault="00FC4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F63734">
      <w:rPr>
        <w:color w:val="000000"/>
        <w:sz w:val="28"/>
        <w:szCs w:val="28"/>
      </w:rPr>
      <w:fldChar w:fldCharType="separate"/>
    </w:r>
    <w:r w:rsidR="00F63734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BB20B1" w:rsidRDefault="00BB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34" w:rsidRPr="00F63734" w:rsidRDefault="00F63734">
    <w:pPr>
      <w:pStyle w:val="Header"/>
      <w:rPr>
        <w:b/>
      </w:rPr>
    </w:pPr>
    <w:r w:rsidRPr="00F63734">
      <w:rPr>
        <w:b/>
      </w:rPr>
      <w:t xml:space="preserve">YOPO.VN---- DIỄN ĐÀN TÀI LIỆU, GIÁO ÁN, BÀI GIẢNG, ĐỀ THI... </w:t>
    </w:r>
    <w:r w:rsidRPr="00F63734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788"/>
    <w:multiLevelType w:val="multilevel"/>
    <w:tmpl w:val="5CD4A0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953E5D"/>
    <w:multiLevelType w:val="multilevel"/>
    <w:tmpl w:val="8EB4F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2">
    <w:nsid w:val="6BF14117"/>
    <w:multiLevelType w:val="multilevel"/>
    <w:tmpl w:val="BA90C80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0B1"/>
    <w:rsid w:val="00BB20B1"/>
    <w:rsid w:val="00F63734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D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46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D2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D2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rsid w:val="00032D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032DAA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06363C"/>
    <w:rPr>
      <w:b/>
      <w:bCs/>
    </w:rPr>
  </w:style>
  <w:style w:type="table" w:styleId="TableGrid">
    <w:name w:val="Table Grid"/>
    <w:basedOn w:val="TableNormal"/>
    <w:uiPriority w:val="39"/>
    <w:rsid w:val="00FA1E5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D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46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D2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D2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rsid w:val="00032D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032DAA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06363C"/>
    <w:rPr>
      <w:b/>
      <w:bCs/>
    </w:rPr>
  </w:style>
  <w:style w:type="table" w:styleId="TableGrid">
    <w:name w:val="Table Grid"/>
    <w:basedOn w:val="TableNormal"/>
    <w:uiPriority w:val="39"/>
    <w:rsid w:val="00FA1E5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GJq3ix8V7o+4Qx9Ktuxn2+Zt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JaC4zd2h3bWw0MglpZC5xc2g3MHEyCWguMmJuNndzeDgAciExZkU0UTR4Z0ZBcWV4bzA3Y09YSEZqQ09RdjRRbmRG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XUAN DAN</cp:lastModifiedBy>
  <cp:revision>3</cp:revision>
  <dcterms:created xsi:type="dcterms:W3CDTF">2024-08-15T12:53:00Z</dcterms:created>
  <dcterms:modified xsi:type="dcterms:W3CDTF">2024-08-21T16:34:00Z</dcterms:modified>
</cp:coreProperties>
</file>